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0EA5" w14:textId="55894218" w:rsidR="0085756B" w:rsidRPr="005709C1" w:rsidRDefault="0085756B" w:rsidP="00857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09C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2762B" w:rsidRPr="005709C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709C1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92762B" w:rsidRPr="005709C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709C1">
        <w:rPr>
          <w:rFonts w:ascii="Times New Roman" w:hAnsi="Times New Roman" w:cs="Times New Roman"/>
          <w:b/>
          <w:bCs/>
          <w:sz w:val="24"/>
          <w:szCs w:val="24"/>
        </w:rPr>
        <w:t xml:space="preserve"> SEZONU TEKERLEKLİ SANDALYE BASKETBOL SÜPER LİG STATÜSÜ VE LİG SIRALAMASI</w:t>
      </w:r>
    </w:p>
    <w:p w14:paraId="240C7F6B" w14:textId="77777777" w:rsidR="0085756B" w:rsidRPr="005709C1" w:rsidRDefault="0085756B" w:rsidP="00F35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B50A9" w14:textId="77777777" w:rsidR="00D47DAC" w:rsidRPr="005709C1" w:rsidRDefault="00D47DAC" w:rsidP="00D47D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3598"/>
      </w:tblGrid>
      <w:tr w:rsidR="00D47DAC" w:rsidRPr="005709C1" w14:paraId="3B47F063" w14:textId="77777777" w:rsidTr="00743D94">
        <w:trPr>
          <w:trHeight w:val="2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57B0" w14:textId="77777777" w:rsidR="00D47DAC" w:rsidRPr="005709C1" w:rsidRDefault="00D47DAC" w:rsidP="00D47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AAD1" w14:textId="77777777" w:rsidR="00D47DAC" w:rsidRPr="005709C1" w:rsidRDefault="00D47DAC" w:rsidP="00D47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709C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Takım İsmi</w:t>
            </w:r>
          </w:p>
        </w:tc>
      </w:tr>
      <w:tr w:rsidR="00D47DAC" w:rsidRPr="005709C1" w14:paraId="4C50F786" w14:textId="77777777" w:rsidTr="00743D94">
        <w:trPr>
          <w:trHeight w:val="28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E559" w14:textId="77777777" w:rsidR="00D47DAC" w:rsidRPr="005709C1" w:rsidRDefault="00D47DAC" w:rsidP="00D47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709C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69F0" w14:textId="77777777" w:rsidR="00D47DAC" w:rsidRPr="005709C1" w:rsidRDefault="00D47DAC" w:rsidP="00D47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5" w:history="1">
              <w:r w:rsidRPr="005709C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Antalya BŞB</w:t>
              </w:r>
            </w:hyperlink>
          </w:p>
        </w:tc>
      </w:tr>
      <w:tr w:rsidR="00D47DAC" w:rsidRPr="005709C1" w14:paraId="71B2C5CA" w14:textId="77777777" w:rsidTr="00743D94">
        <w:trPr>
          <w:trHeight w:val="2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B9A1" w14:textId="77777777" w:rsidR="00D47DAC" w:rsidRPr="005709C1" w:rsidRDefault="00D47DAC" w:rsidP="00D47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709C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292F" w14:textId="0198A284" w:rsidR="00D47DAC" w:rsidRPr="005709C1" w:rsidRDefault="00D47DAC" w:rsidP="00D47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6" w:history="1">
              <w:r w:rsidRPr="005709C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Astor Enerji </w:t>
              </w:r>
              <w:r w:rsidR="005709C1" w:rsidRPr="005709C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Ş. Urfa</w:t>
              </w:r>
              <w:r w:rsidRPr="005709C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BESK</w:t>
              </w:r>
            </w:hyperlink>
          </w:p>
        </w:tc>
      </w:tr>
      <w:tr w:rsidR="00D47DAC" w:rsidRPr="005709C1" w14:paraId="6AE5A1F6" w14:textId="77777777" w:rsidTr="00743D94">
        <w:trPr>
          <w:trHeight w:val="28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CECA" w14:textId="77777777" w:rsidR="00D47DAC" w:rsidRPr="005709C1" w:rsidRDefault="00D47DAC" w:rsidP="00D47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709C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17B1" w14:textId="77777777" w:rsidR="00D47DAC" w:rsidRPr="005709C1" w:rsidRDefault="00D47DAC" w:rsidP="00D47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7" w:history="1">
              <w:r w:rsidRPr="005709C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Bağcılar Bel.</w:t>
              </w:r>
            </w:hyperlink>
          </w:p>
        </w:tc>
      </w:tr>
      <w:tr w:rsidR="00D47DAC" w:rsidRPr="005709C1" w14:paraId="01667EEB" w14:textId="77777777" w:rsidTr="00743D94">
        <w:trPr>
          <w:trHeight w:val="2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5135" w14:textId="77777777" w:rsidR="00D47DAC" w:rsidRPr="005709C1" w:rsidRDefault="00D47DAC" w:rsidP="00D47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709C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1506" w14:textId="77777777" w:rsidR="00D47DAC" w:rsidRPr="005709C1" w:rsidRDefault="00D47DAC" w:rsidP="00D47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8" w:history="1">
              <w:r w:rsidRPr="005709C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Balıkesir BŞB</w:t>
              </w:r>
            </w:hyperlink>
          </w:p>
        </w:tc>
      </w:tr>
      <w:tr w:rsidR="00D47DAC" w:rsidRPr="005709C1" w14:paraId="0C95E8DA" w14:textId="77777777" w:rsidTr="00743D94">
        <w:trPr>
          <w:trHeight w:val="28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BB09" w14:textId="77777777" w:rsidR="00D47DAC" w:rsidRPr="005709C1" w:rsidRDefault="00D47DAC" w:rsidP="00D47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709C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34EA" w14:textId="0C8B90CE" w:rsidR="00D47DAC" w:rsidRPr="005709C1" w:rsidRDefault="00D47DAC" w:rsidP="00D47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9" w:history="1">
              <w:r w:rsidRPr="005709C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Beşiktaş </w:t>
              </w:r>
              <w:r w:rsidR="00743D94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JK</w:t>
              </w:r>
            </w:hyperlink>
          </w:p>
        </w:tc>
      </w:tr>
      <w:tr w:rsidR="00D47DAC" w:rsidRPr="005709C1" w14:paraId="3FFF8433" w14:textId="77777777" w:rsidTr="00743D94">
        <w:trPr>
          <w:trHeight w:val="2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9FA0" w14:textId="77777777" w:rsidR="00D47DAC" w:rsidRPr="005709C1" w:rsidRDefault="00D47DAC" w:rsidP="00D47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709C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B250" w14:textId="77777777" w:rsidR="00D47DAC" w:rsidRPr="005709C1" w:rsidRDefault="00D47DAC" w:rsidP="00D47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0" w:history="1">
              <w:r w:rsidRPr="005709C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F.Bahçe İstanbul Jet</w:t>
              </w:r>
            </w:hyperlink>
          </w:p>
        </w:tc>
      </w:tr>
      <w:tr w:rsidR="00D47DAC" w:rsidRPr="005709C1" w14:paraId="56620108" w14:textId="77777777" w:rsidTr="00743D94">
        <w:trPr>
          <w:trHeight w:val="28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69E6" w14:textId="77777777" w:rsidR="00D47DAC" w:rsidRPr="005709C1" w:rsidRDefault="00D47DAC" w:rsidP="00D47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709C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7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806F" w14:textId="77777777" w:rsidR="00D47DAC" w:rsidRPr="005709C1" w:rsidRDefault="00D47DAC" w:rsidP="00D47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1" w:history="1">
              <w:r w:rsidRPr="005709C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G.Saray Fuzul</w:t>
              </w:r>
            </w:hyperlink>
          </w:p>
        </w:tc>
      </w:tr>
      <w:tr w:rsidR="00D47DAC" w:rsidRPr="005709C1" w14:paraId="3816559A" w14:textId="77777777" w:rsidTr="00743D94">
        <w:trPr>
          <w:trHeight w:val="2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8087" w14:textId="77777777" w:rsidR="00D47DAC" w:rsidRPr="005709C1" w:rsidRDefault="00D47DAC" w:rsidP="00D47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709C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8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6EBE" w14:textId="77777777" w:rsidR="00D47DAC" w:rsidRPr="005709C1" w:rsidRDefault="00D47DAC" w:rsidP="00D47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2" w:history="1">
              <w:r w:rsidRPr="005709C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Gazişehir G.Antep</w:t>
              </w:r>
            </w:hyperlink>
          </w:p>
        </w:tc>
      </w:tr>
      <w:tr w:rsidR="00D47DAC" w:rsidRPr="005709C1" w14:paraId="60A3FC47" w14:textId="77777777" w:rsidTr="00743D94">
        <w:trPr>
          <w:trHeight w:val="2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C20C" w14:textId="77777777" w:rsidR="00D47DAC" w:rsidRPr="005709C1" w:rsidRDefault="00D47DAC" w:rsidP="00D47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709C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9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1CAD" w14:textId="77777777" w:rsidR="00D47DAC" w:rsidRPr="005709C1" w:rsidRDefault="00D47DAC" w:rsidP="00D47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3" w:history="1">
              <w:r w:rsidRPr="005709C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İzmir BŞB</w:t>
              </w:r>
            </w:hyperlink>
          </w:p>
        </w:tc>
      </w:tr>
      <w:tr w:rsidR="00D47DAC" w:rsidRPr="005709C1" w14:paraId="3C3292FE" w14:textId="77777777" w:rsidTr="00743D94">
        <w:trPr>
          <w:trHeight w:val="28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0B0F" w14:textId="77777777" w:rsidR="00D47DAC" w:rsidRPr="005709C1" w:rsidRDefault="00D47DAC" w:rsidP="00D47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709C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10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FB10" w14:textId="58561F41" w:rsidR="00D47DAC" w:rsidRPr="005709C1" w:rsidRDefault="00743D94" w:rsidP="00D47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İskenderun Belediyesi</w:t>
            </w:r>
          </w:p>
        </w:tc>
      </w:tr>
      <w:tr w:rsidR="00743D94" w:rsidRPr="005709C1" w14:paraId="30D4CF5B" w14:textId="77777777" w:rsidTr="00743D94">
        <w:trPr>
          <w:trHeight w:val="2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EF9D" w14:textId="77777777" w:rsidR="00743D94" w:rsidRPr="005709C1" w:rsidRDefault="00743D94" w:rsidP="00743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709C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55F8" w14:textId="376696EF" w:rsidR="00743D94" w:rsidRPr="005709C1" w:rsidRDefault="00743D94" w:rsidP="00743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4" w:history="1">
              <w:r w:rsidRPr="005709C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Kar. Demir Kartal</w:t>
              </w:r>
            </w:hyperlink>
          </w:p>
        </w:tc>
      </w:tr>
      <w:tr w:rsidR="00743D94" w:rsidRPr="005709C1" w14:paraId="4C5331F2" w14:textId="77777777" w:rsidTr="00743D94">
        <w:trPr>
          <w:trHeight w:val="28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9BBD" w14:textId="77777777" w:rsidR="00743D94" w:rsidRPr="005709C1" w:rsidRDefault="00743D94" w:rsidP="00743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709C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9F04" w14:textId="75B91C4C" w:rsidR="00743D94" w:rsidRPr="005709C1" w:rsidRDefault="00743D94" w:rsidP="00743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5" w:history="1">
              <w:r w:rsidRPr="005709C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Ordu BŞB</w:t>
              </w:r>
            </w:hyperlink>
          </w:p>
        </w:tc>
      </w:tr>
      <w:tr w:rsidR="00743D94" w:rsidRPr="005709C1" w14:paraId="5ABEB74E" w14:textId="77777777" w:rsidTr="00743D94">
        <w:trPr>
          <w:trHeight w:val="2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F46C" w14:textId="77777777" w:rsidR="00743D94" w:rsidRPr="005709C1" w:rsidRDefault="00743D94" w:rsidP="00743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709C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13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8F1A" w14:textId="597F88C4" w:rsidR="00743D94" w:rsidRPr="005709C1" w:rsidRDefault="00743D94" w:rsidP="00743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6" w:history="1">
              <w:r w:rsidRPr="005709C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Şanlıurfa BŞB</w:t>
              </w:r>
            </w:hyperlink>
          </w:p>
        </w:tc>
      </w:tr>
      <w:tr w:rsidR="00D47DAC" w:rsidRPr="005709C1" w14:paraId="5253BC9C" w14:textId="77777777" w:rsidTr="00743D94">
        <w:trPr>
          <w:trHeight w:val="2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0386" w14:textId="77777777" w:rsidR="00D47DAC" w:rsidRPr="005709C1" w:rsidRDefault="00D47DAC" w:rsidP="00D47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709C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14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23DE" w14:textId="77777777" w:rsidR="00D47DAC" w:rsidRPr="005709C1" w:rsidRDefault="00D47DAC" w:rsidP="00D47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7" w:history="1">
              <w:r w:rsidRPr="005709C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TSK Reh.Merkezi</w:t>
              </w:r>
            </w:hyperlink>
          </w:p>
        </w:tc>
      </w:tr>
    </w:tbl>
    <w:p w14:paraId="71779904" w14:textId="77777777" w:rsidR="00D47DAC" w:rsidRPr="005709C1" w:rsidRDefault="00D47DAC" w:rsidP="00D47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5709C1">
        <w:rPr>
          <w:rFonts w:ascii="Times New Roman" w:eastAsia="Calibri" w:hAnsi="Times New Roman" w:cs="Times New Roman"/>
          <w:sz w:val="18"/>
          <w:szCs w:val="18"/>
        </w:rPr>
        <w:t>*Takımlar alfabetik sıraya göre sıralanmıştır.</w:t>
      </w:r>
    </w:p>
    <w:p w14:paraId="19DC6749" w14:textId="77777777" w:rsidR="00F35A07" w:rsidRPr="005709C1" w:rsidRDefault="00F35A07" w:rsidP="00F35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CE737" w14:textId="77777777" w:rsidR="00F35A07" w:rsidRPr="005709C1" w:rsidRDefault="00F35A07" w:rsidP="00857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AC9DA" w14:textId="77777777" w:rsidR="0085756B" w:rsidRPr="005709C1" w:rsidRDefault="0085756B" w:rsidP="00857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9C1">
        <w:rPr>
          <w:rFonts w:ascii="Times New Roman" w:hAnsi="Times New Roman" w:cs="Times New Roman"/>
          <w:b/>
          <w:bCs/>
          <w:sz w:val="24"/>
          <w:szCs w:val="24"/>
        </w:rPr>
        <w:t>1. Normal Sezon Müsabakaları</w:t>
      </w:r>
    </w:p>
    <w:p w14:paraId="63C6A60B" w14:textId="490A75C1" w:rsidR="0099462A" w:rsidRPr="005709C1" w:rsidRDefault="0085756B" w:rsidP="008575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9C1">
        <w:rPr>
          <w:rFonts w:ascii="Times New Roman" w:hAnsi="Times New Roman" w:cs="Times New Roman"/>
          <w:sz w:val="24"/>
          <w:szCs w:val="24"/>
        </w:rPr>
        <w:t xml:space="preserve">a. On </w:t>
      </w:r>
      <w:r w:rsidR="00D47DAC" w:rsidRPr="005709C1">
        <w:rPr>
          <w:rFonts w:ascii="Times New Roman" w:hAnsi="Times New Roman" w:cs="Times New Roman"/>
          <w:sz w:val="24"/>
          <w:szCs w:val="24"/>
        </w:rPr>
        <w:t>dört</w:t>
      </w:r>
      <w:r w:rsidRPr="005709C1">
        <w:rPr>
          <w:rFonts w:ascii="Times New Roman" w:hAnsi="Times New Roman" w:cs="Times New Roman"/>
          <w:sz w:val="24"/>
          <w:szCs w:val="24"/>
        </w:rPr>
        <w:t xml:space="preserve"> (1</w:t>
      </w:r>
      <w:r w:rsidR="0099462A" w:rsidRPr="005709C1">
        <w:rPr>
          <w:rFonts w:ascii="Times New Roman" w:hAnsi="Times New Roman" w:cs="Times New Roman"/>
          <w:sz w:val="24"/>
          <w:szCs w:val="24"/>
        </w:rPr>
        <w:t>4</w:t>
      </w:r>
      <w:r w:rsidRPr="005709C1">
        <w:rPr>
          <w:rFonts w:ascii="Times New Roman" w:hAnsi="Times New Roman" w:cs="Times New Roman"/>
          <w:sz w:val="24"/>
          <w:szCs w:val="24"/>
        </w:rPr>
        <w:t>) takım</w:t>
      </w:r>
      <w:r w:rsidR="0099462A" w:rsidRPr="005709C1">
        <w:rPr>
          <w:rFonts w:ascii="Times New Roman" w:hAnsi="Times New Roman" w:cs="Times New Roman"/>
          <w:sz w:val="24"/>
          <w:szCs w:val="24"/>
        </w:rPr>
        <w:t>ın yer aldığı tek grup ile oynanır.</w:t>
      </w:r>
    </w:p>
    <w:p w14:paraId="2F9896F7" w14:textId="4343CD9C" w:rsidR="0085756B" w:rsidRPr="005709C1" w:rsidRDefault="0085756B" w:rsidP="009946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9C1">
        <w:rPr>
          <w:rFonts w:ascii="Times New Roman" w:hAnsi="Times New Roman" w:cs="Times New Roman"/>
          <w:sz w:val="24"/>
          <w:szCs w:val="24"/>
        </w:rPr>
        <w:t xml:space="preserve">b. Bu müsabakalar sonrasında yapılan puan sıralamasına göre; </w:t>
      </w:r>
      <w:r w:rsidR="0099462A" w:rsidRPr="005709C1">
        <w:rPr>
          <w:rFonts w:ascii="Times New Roman" w:hAnsi="Times New Roman" w:cs="Times New Roman"/>
          <w:sz w:val="24"/>
          <w:szCs w:val="24"/>
        </w:rPr>
        <w:t>birinci (1.), ikinci (2.), üçüncü (3.), dördüncü (4.), beşinci (5.), altıncı (6.), yedinci (7.) ve sekizinci (8.) takımlar Play</w:t>
      </w:r>
      <w:r w:rsidR="00A960B2" w:rsidRPr="005709C1">
        <w:rPr>
          <w:rFonts w:ascii="Times New Roman" w:hAnsi="Times New Roman" w:cs="Times New Roman"/>
          <w:sz w:val="24"/>
          <w:szCs w:val="24"/>
        </w:rPr>
        <w:t>-</w:t>
      </w:r>
      <w:r w:rsidR="0099462A" w:rsidRPr="005709C1">
        <w:rPr>
          <w:rFonts w:ascii="Times New Roman" w:hAnsi="Times New Roman" w:cs="Times New Roman"/>
          <w:sz w:val="24"/>
          <w:szCs w:val="24"/>
        </w:rPr>
        <w:t xml:space="preserve">off çeyrek final müsabakaları oynamaya hak kazanır. </w:t>
      </w:r>
    </w:p>
    <w:p w14:paraId="0BE4417F" w14:textId="7AB2B532" w:rsidR="0085756B" w:rsidRPr="005709C1" w:rsidRDefault="0085756B" w:rsidP="008575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9C1">
        <w:rPr>
          <w:rFonts w:ascii="Times New Roman" w:hAnsi="Times New Roman" w:cs="Times New Roman"/>
          <w:sz w:val="24"/>
          <w:szCs w:val="24"/>
        </w:rPr>
        <w:t xml:space="preserve">c. </w:t>
      </w:r>
      <w:r w:rsidR="0099462A" w:rsidRPr="005709C1">
        <w:rPr>
          <w:rFonts w:ascii="Times New Roman" w:hAnsi="Times New Roman" w:cs="Times New Roman"/>
          <w:sz w:val="24"/>
          <w:szCs w:val="24"/>
        </w:rPr>
        <w:t>dokuzuncu</w:t>
      </w:r>
      <w:r w:rsidR="00A960B2" w:rsidRPr="005709C1">
        <w:rPr>
          <w:rFonts w:ascii="Times New Roman" w:hAnsi="Times New Roman" w:cs="Times New Roman"/>
          <w:sz w:val="24"/>
          <w:szCs w:val="24"/>
        </w:rPr>
        <w:t xml:space="preserve"> (9.)</w:t>
      </w:r>
      <w:r w:rsidR="0092762B" w:rsidRPr="005709C1">
        <w:rPr>
          <w:rFonts w:ascii="Times New Roman" w:hAnsi="Times New Roman" w:cs="Times New Roman"/>
          <w:sz w:val="24"/>
          <w:szCs w:val="24"/>
        </w:rPr>
        <w:t xml:space="preserve">, </w:t>
      </w:r>
      <w:r w:rsidR="00A960B2" w:rsidRPr="005709C1">
        <w:rPr>
          <w:rFonts w:ascii="Times New Roman" w:hAnsi="Times New Roman" w:cs="Times New Roman"/>
          <w:sz w:val="24"/>
          <w:szCs w:val="24"/>
        </w:rPr>
        <w:t>onuncu (10.)</w:t>
      </w:r>
      <w:r w:rsidR="0092762B" w:rsidRPr="005709C1">
        <w:rPr>
          <w:rFonts w:ascii="Times New Roman" w:hAnsi="Times New Roman" w:cs="Times New Roman"/>
          <w:sz w:val="24"/>
          <w:szCs w:val="24"/>
        </w:rPr>
        <w:t xml:space="preserve"> ve on birinci (11.) </w:t>
      </w:r>
      <w:r w:rsidR="00A960B2" w:rsidRPr="005709C1">
        <w:rPr>
          <w:rFonts w:ascii="Times New Roman" w:hAnsi="Times New Roman" w:cs="Times New Roman"/>
          <w:sz w:val="24"/>
          <w:szCs w:val="24"/>
        </w:rPr>
        <w:t>takımlar sezonu tamamlar</w:t>
      </w:r>
    </w:p>
    <w:p w14:paraId="07F14A8F" w14:textId="5B94A477" w:rsidR="0085756B" w:rsidRPr="005709C1" w:rsidRDefault="00B9411B" w:rsidP="008575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9C1">
        <w:rPr>
          <w:rFonts w:ascii="Times New Roman" w:hAnsi="Times New Roman" w:cs="Times New Roman"/>
          <w:sz w:val="24"/>
          <w:szCs w:val="24"/>
        </w:rPr>
        <w:t>d</w:t>
      </w:r>
      <w:r w:rsidR="0085756B" w:rsidRPr="005709C1">
        <w:rPr>
          <w:rFonts w:ascii="Times New Roman" w:hAnsi="Times New Roman" w:cs="Times New Roman"/>
          <w:sz w:val="24"/>
          <w:szCs w:val="24"/>
        </w:rPr>
        <w:t xml:space="preserve">. </w:t>
      </w:r>
      <w:r w:rsidRPr="005709C1">
        <w:rPr>
          <w:rFonts w:ascii="Times New Roman" w:hAnsi="Times New Roman" w:cs="Times New Roman"/>
          <w:sz w:val="24"/>
          <w:szCs w:val="24"/>
        </w:rPr>
        <w:t xml:space="preserve">On ikinci (12.), </w:t>
      </w:r>
      <w:r w:rsidR="00A960B2" w:rsidRPr="005709C1">
        <w:rPr>
          <w:rFonts w:ascii="Times New Roman" w:hAnsi="Times New Roman" w:cs="Times New Roman"/>
          <w:sz w:val="24"/>
          <w:szCs w:val="24"/>
        </w:rPr>
        <w:t>on üçüncü (13.) ve on dördüncü (14.) takımlar bir alt lige tenzil edilir.</w:t>
      </w:r>
    </w:p>
    <w:p w14:paraId="2C588388" w14:textId="4114AC91" w:rsidR="0085756B" w:rsidRPr="005709C1" w:rsidRDefault="0085756B" w:rsidP="00151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60EE3" w14:textId="77777777" w:rsidR="0085756B" w:rsidRDefault="0085756B" w:rsidP="00857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9C1">
        <w:rPr>
          <w:rFonts w:ascii="Times New Roman" w:hAnsi="Times New Roman" w:cs="Times New Roman"/>
          <w:b/>
          <w:bCs/>
          <w:sz w:val="24"/>
          <w:szCs w:val="24"/>
        </w:rPr>
        <w:t>2. Play – Off Çeyrek Final Müsabakaları</w:t>
      </w:r>
    </w:p>
    <w:p w14:paraId="1BCD0F47" w14:textId="77777777" w:rsidR="00250D2A" w:rsidRDefault="00250D2A" w:rsidP="008575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9EAD37" w14:textId="224C06D6" w:rsidR="0085756B" w:rsidRPr="005709C1" w:rsidRDefault="0085756B" w:rsidP="008575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9C1">
        <w:rPr>
          <w:rFonts w:ascii="Times New Roman" w:hAnsi="Times New Roman" w:cs="Times New Roman"/>
          <w:sz w:val="24"/>
          <w:szCs w:val="24"/>
        </w:rPr>
        <w:t>Normal sezon müsabakaları sonunda takımlar aldıkları puanlara göre sıralanırlar ve aşağıda paylaşıldığı şekilde eşleşirler. Play – Off Çeyrek Final müsabakalarında takımların normal sezonda oynamış oldukları müsabaka sonuçları ne olursa olsun müsabakalar 0 – 0 başlar.</w:t>
      </w:r>
    </w:p>
    <w:p w14:paraId="58908446" w14:textId="77777777" w:rsidR="0085756B" w:rsidRPr="005709C1" w:rsidRDefault="0085756B" w:rsidP="008575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68098B" w14:textId="726C3C11" w:rsidR="0085756B" w:rsidRPr="005709C1" w:rsidRDefault="0085756B" w:rsidP="00A96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9C1">
        <w:rPr>
          <w:rFonts w:ascii="Times New Roman" w:hAnsi="Times New Roman" w:cs="Times New Roman"/>
          <w:sz w:val="24"/>
          <w:szCs w:val="24"/>
        </w:rPr>
        <w:t xml:space="preserve">1 - </w:t>
      </w:r>
      <w:r w:rsidR="00A960B2" w:rsidRPr="005709C1">
        <w:rPr>
          <w:rFonts w:ascii="Times New Roman" w:hAnsi="Times New Roman" w:cs="Times New Roman"/>
          <w:sz w:val="24"/>
          <w:szCs w:val="24"/>
        </w:rPr>
        <w:t>8</w:t>
      </w:r>
      <w:r w:rsidRPr="005709C1">
        <w:rPr>
          <w:rFonts w:ascii="Times New Roman" w:hAnsi="Times New Roman" w:cs="Times New Roman"/>
          <w:sz w:val="24"/>
          <w:szCs w:val="24"/>
        </w:rPr>
        <w:t xml:space="preserve"> (Galibi </w:t>
      </w:r>
      <w:r w:rsidRPr="005709C1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5709C1">
        <w:rPr>
          <w:rFonts w:ascii="Times New Roman" w:hAnsi="Times New Roman" w:cs="Times New Roman"/>
          <w:sz w:val="24"/>
          <w:szCs w:val="24"/>
        </w:rPr>
        <w:t>olarak isimlendirilir.)</w:t>
      </w:r>
    </w:p>
    <w:p w14:paraId="61430F5B" w14:textId="1A46F048" w:rsidR="0085756B" w:rsidRPr="005709C1" w:rsidRDefault="00A960B2" w:rsidP="00A96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9C1">
        <w:rPr>
          <w:rFonts w:ascii="Times New Roman" w:hAnsi="Times New Roman" w:cs="Times New Roman"/>
          <w:sz w:val="24"/>
          <w:szCs w:val="24"/>
        </w:rPr>
        <w:t>2</w:t>
      </w:r>
      <w:r w:rsidR="0085756B" w:rsidRPr="005709C1">
        <w:rPr>
          <w:rFonts w:ascii="Times New Roman" w:hAnsi="Times New Roman" w:cs="Times New Roman"/>
          <w:sz w:val="24"/>
          <w:szCs w:val="24"/>
        </w:rPr>
        <w:t xml:space="preserve"> - </w:t>
      </w:r>
      <w:r w:rsidRPr="005709C1">
        <w:rPr>
          <w:rFonts w:ascii="Times New Roman" w:hAnsi="Times New Roman" w:cs="Times New Roman"/>
          <w:sz w:val="24"/>
          <w:szCs w:val="24"/>
        </w:rPr>
        <w:t>7</w:t>
      </w:r>
      <w:r w:rsidR="0085756B" w:rsidRPr="005709C1">
        <w:rPr>
          <w:rFonts w:ascii="Times New Roman" w:hAnsi="Times New Roman" w:cs="Times New Roman"/>
          <w:sz w:val="24"/>
          <w:szCs w:val="24"/>
        </w:rPr>
        <w:t xml:space="preserve"> (Galibi </w:t>
      </w:r>
      <w:r w:rsidR="0085756B" w:rsidRPr="005709C1">
        <w:rPr>
          <w:rFonts w:ascii="Times New Roman" w:hAnsi="Times New Roman" w:cs="Times New Roman"/>
          <w:b/>
          <w:bCs/>
          <w:sz w:val="24"/>
          <w:szCs w:val="24"/>
        </w:rPr>
        <w:t xml:space="preserve">F </w:t>
      </w:r>
      <w:r w:rsidR="0085756B" w:rsidRPr="005709C1">
        <w:rPr>
          <w:rFonts w:ascii="Times New Roman" w:hAnsi="Times New Roman" w:cs="Times New Roman"/>
          <w:sz w:val="24"/>
          <w:szCs w:val="24"/>
        </w:rPr>
        <w:t>olarak isimlendirilir.)</w:t>
      </w:r>
    </w:p>
    <w:p w14:paraId="64B10B9F" w14:textId="031BCE5E" w:rsidR="0085756B" w:rsidRPr="005709C1" w:rsidRDefault="00A960B2" w:rsidP="00A96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9C1">
        <w:rPr>
          <w:rFonts w:ascii="Times New Roman" w:hAnsi="Times New Roman" w:cs="Times New Roman"/>
          <w:sz w:val="24"/>
          <w:szCs w:val="24"/>
        </w:rPr>
        <w:t>3</w:t>
      </w:r>
      <w:r w:rsidR="0085756B" w:rsidRPr="005709C1">
        <w:rPr>
          <w:rFonts w:ascii="Times New Roman" w:hAnsi="Times New Roman" w:cs="Times New Roman"/>
          <w:sz w:val="24"/>
          <w:szCs w:val="24"/>
        </w:rPr>
        <w:t xml:space="preserve"> - </w:t>
      </w:r>
      <w:r w:rsidRPr="005709C1">
        <w:rPr>
          <w:rFonts w:ascii="Times New Roman" w:hAnsi="Times New Roman" w:cs="Times New Roman"/>
          <w:sz w:val="24"/>
          <w:szCs w:val="24"/>
        </w:rPr>
        <w:t>6</w:t>
      </w:r>
      <w:r w:rsidR="0085756B" w:rsidRPr="005709C1">
        <w:rPr>
          <w:rFonts w:ascii="Times New Roman" w:hAnsi="Times New Roman" w:cs="Times New Roman"/>
          <w:sz w:val="24"/>
          <w:szCs w:val="24"/>
        </w:rPr>
        <w:t xml:space="preserve"> (Galibi </w:t>
      </w:r>
      <w:r w:rsidR="0085756B" w:rsidRPr="005709C1">
        <w:rPr>
          <w:rFonts w:ascii="Times New Roman" w:hAnsi="Times New Roman" w:cs="Times New Roman"/>
          <w:b/>
          <w:bCs/>
          <w:sz w:val="24"/>
          <w:szCs w:val="24"/>
        </w:rPr>
        <w:t xml:space="preserve">G </w:t>
      </w:r>
      <w:r w:rsidR="0085756B" w:rsidRPr="005709C1">
        <w:rPr>
          <w:rFonts w:ascii="Times New Roman" w:hAnsi="Times New Roman" w:cs="Times New Roman"/>
          <w:sz w:val="24"/>
          <w:szCs w:val="24"/>
        </w:rPr>
        <w:t>olarak isimlendirilir.)</w:t>
      </w:r>
    </w:p>
    <w:p w14:paraId="7717AC5F" w14:textId="28CC3FAC" w:rsidR="0085756B" w:rsidRPr="005709C1" w:rsidRDefault="00A960B2" w:rsidP="00A96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9C1">
        <w:rPr>
          <w:rFonts w:ascii="Times New Roman" w:hAnsi="Times New Roman" w:cs="Times New Roman"/>
          <w:sz w:val="24"/>
          <w:szCs w:val="24"/>
        </w:rPr>
        <w:t>4</w:t>
      </w:r>
      <w:r w:rsidR="0085756B" w:rsidRPr="005709C1">
        <w:rPr>
          <w:rFonts w:ascii="Times New Roman" w:hAnsi="Times New Roman" w:cs="Times New Roman"/>
          <w:sz w:val="24"/>
          <w:szCs w:val="24"/>
        </w:rPr>
        <w:t xml:space="preserve"> - </w:t>
      </w:r>
      <w:r w:rsidRPr="005709C1">
        <w:rPr>
          <w:rFonts w:ascii="Times New Roman" w:hAnsi="Times New Roman" w:cs="Times New Roman"/>
          <w:sz w:val="24"/>
          <w:szCs w:val="24"/>
        </w:rPr>
        <w:t>5</w:t>
      </w:r>
      <w:r w:rsidR="0085756B" w:rsidRPr="005709C1">
        <w:rPr>
          <w:rFonts w:ascii="Times New Roman" w:hAnsi="Times New Roman" w:cs="Times New Roman"/>
          <w:sz w:val="24"/>
          <w:szCs w:val="24"/>
        </w:rPr>
        <w:t xml:space="preserve"> (Galibi </w:t>
      </w:r>
      <w:r w:rsidR="0085756B" w:rsidRPr="005709C1">
        <w:rPr>
          <w:rFonts w:ascii="Times New Roman" w:hAnsi="Times New Roman" w:cs="Times New Roman"/>
          <w:b/>
          <w:bCs/>
          <w:sz w:val="24"/>
          <w:szCs w:val="24"/>
        </w:rPr>
        <w:t xml:space="preserve">H </w:t>
      </w:r>
      <w:r w:rsidR="0085756B" w:rsidRPr="005709C1">
        <w:rPr>
          <w:rFonts w:ascii="Times New Roman" w:hAnsi="Times New Roman" w:cs="Times New Roman"/>
          <w:sz w:val="24"/>
          <w:szCs w:val="24"/>
        </w:rPr>
        <w:t>olarak isimlendirilir.)</w:t>
      </w:r>
    </w:p>
    <w:p w14:paraId="20870651" w14:textId="77777777" w:rsidR="0085756B" w:rsidRPr="005709C1" w:rsidRDefault="0085756B" w:rsidP="00857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E1236" w14:textId="579E2976" w:rsidR="0085756B" w:rsidRDefault="0085756B" w:rsidP="008575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9C1">
        <w:rPr>
          <w:rFonts w:ascii="Times New Roman" w:hAnsi="Times New Roman" w:cs="Times New Roman"/>
          <w:sz w:val="24"/>
          <w:szCs w:val="24"/>
        </w:rPr>
        <w:t xml:space="preserve">Play – Off Çeyrek Final müsabakaları </w:t>
      </w:r>
      <w:r w:rsidR="005709C1">
        <w:rPr>
          <w:rFonts w:ascii="Times New Roman" w:hAnsi="Times New Roman" w:cs="Times New Roman"/>
          <w:sz w:val="24"/>
          <w:szCs w:val="24"/>
        </w:rPr>
        <w:t xml:space="preserve">federasyonun belirlemiş olduğu yerde </w:t>
      </w:r>
      <w:r w:rsidRPr="005709C1">
        <w:rPr>
          <w:rFonts w:ascii="Times New Roman" w:hAnsi="Times New Roman" w:cs="Times New Roman"/>
          <w:sz w:val="24"/>
          <w:szCs w:val="24"/>
        </w:rPr>
        <w:t xml:space="preserve">kazanılmış iki (2) müsabaka üzerinden oynanır. İki (2) galibiyet alan takım Play – Off Yarı Final müsabakaları oynamaya hak kazanır. </w:t>
      </w:r>
    </w:p>
    <w:p w14:paraId="6D0B8A66" w14:textId="77777777" w:rsidR="00D25209" w:rsidRDefault="00D25209" w:rsidP="008575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E5AE97" w14:textId="77777777" w:rsidR="00D25209" w:rsidRDefault="00D25209" w:rsidP="008575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F88519" w14:textId="77777777" w:rsidR="00D25209" w:rsidRDefault="00D25209" w:rsidP="008575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7D9B63" w14:textId="77777777" w:rsidR="00D25209" w:rsidRDefault="00D25209" w:rsidP="008575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CB4255" w14:textId="77777777" w:rsidR="00D25209" w:rsidRDefault="00D25209" w:rsidP="008575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782194" w14:textId="77777777" w:rsidR="00D25209" w:rsidRPr="005709C1" w:rsidRDefault="00D25209" w:rsidP="008575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0E0E2D" w14:textId="77777777" w:rsidR="0085756B" w:rsidRPr="005709C1" w:rsidRDefault="0085756B" w:rsidP="00857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D5F10" w14:textId="77777777" w:rsidR="0085756B" w:rsidRPr="005709C1" w:rsidRDefault="0085756B" w:rsidP="00857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9C1">
        <w:rPr>
          <w:rFonts w:ascii="Times New Roman" w:hAnsi="Times New Roman" w:cs="Times New Roman"/>
          <w:b/>
          <w:bCs/>
          <w:sz w:val="24"/>
          <w:szCs w:val="24"/>
        </w:rPr>
        <w:t>3. Play – Off Yarı Final Müsabakaları</w:t>
      </w:r>
    </w:p>
    <w:p w14:paraId="6AC36A5E" w14:textId="4A1C98BC" w:rsidR="0085756B" w:rsidRPr="005709C1" w:rsidRDefault="0085756B" w:rsidP="008575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9C1">
        <w:rPr>
          <w:rFonts w:ascii="Times New Roman" w:hAnsi="Times New Roman" w:cs="Times New Roman"/>
          <w:sz w:val="24"/>
          <w:szCs w:val="24"/>
        </w:rPr>
        <w:t>Play – Off Çeyrek Final müsabakaları sonrasında tur atlayan dört (4) takım aşağıda paylaşıldığı şekilde eşleşirler. Play - Off Yarı Final müsabakalarında takımların normal sezonda ve Play – Off Çeyrek Final müsabakalarında oynamış oldukları müsabaka sonuçları ne olursa olsun müsabakalar 0– 0 başlar.</w:t>
      </w:r>
    </w:p>
    <w:p w14:paraId="3984636C" w14:textId="77777777" w:rsidR="0085756B" w:rsidRPr="005709C1" w:rsidRDefault="0085756B" w:rsidP="00857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C9F2D" w14:textId="77777777" w:rsidR="005709C1" w:rsidRDefault="0085756B" w:rsidP="00857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9C1">
        <w:rPr>
          <w:rFonts w:ascii="Times New Roman" w:hAnsi="Times New Roman" w:cs="Times New Roman"/>
          <w:sz w:val="24"/>
          <w:szCs w:val="24"/>
        </w:rPr>
        <w:t xml:space="preserve">E - H (Galibi </w:t>
      </w:r>
      <w:r w:rsidRPr="005709C1">
        <w:rPr>
          <w:rFonts w:ascii="Times New Roman" w:hAnsi="Times New Roman" w:cs="Times New Roman"/>
          <w:b/>
          <w:bCs/>
          <w:sz w:val="24"/>
          <w:szCs w:val="24"/>
        </w:rPr>
        <w:t xml:space="preserve">İ </w:t>
      </w:r>
      <w:r w:rsidRPr="005709C1">
        <w:rPr>
          <w:rFonts w:ascii="Times New Roman" w:hAnsi="Times New Roman" w:cs="Times New Roman"/>
          <w:sz w:val="24"/>
          <w:szCs w:val="24"/>
        </w:rPr>
        <w:t>olarak isimlendirilir.)</w:t>
      </w:r>
    </w:p>
    <w:p w14:paraId="65D49713" w14:textId="3ED34D7A" w:rsidR="0085756B" w:rsidRPr="005709C1" w:rsidRDefault="0085756B" w:rsidP="00857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9C1">
        <w:rPr>
          <w:rFonts w:ascii="Times New Roman" w:hAnsi="Times New Roman" w:cs="Times New Roman"/>
          <w:sz w:val="24"/>
          <w:szCs w:val="24"/>
        </w:rPr>
        <w:t xml:space="preserve">F - G (Galibi </w:t>
      </w:r>
      <w:r w:rsidRPr="005709C1">
        <w:rPr>
          <w:rFonts w:ascii="Times New Roman" w:hAnsi="Times New Roman" w:cs="Times New Roman"/>
          <w:b/>
          <w:bCs/>
          <w:sz w:val="24"/>
          <w:szCs w:val="24"/>
        </w:rPr>
        <w:t xml:space="preserve">J </w:t>
      </w:r>
      <w:r w:rsidRPr="005709C1">
        <w:rPr>
          <w:rFonts w:ascii="Times New Roman" w:hAnsi="Times New Roman" w:cs="Times New Roman"/>
          <w:sz w:val="24"/>
          <w:szCs w:val="24"/>
        </w:rPr>
        <w:t>olarak isimlendirilir.)</w:t>
      </w:r>
    </w:p>
    <w:p w14:paraId="08761982" w14:textId="77777777" w:rsidR="0085756B" w:rsidRPr="005709C1" w:rsidRDefault="0085756B" w:rsidP="00857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BC8F4" w14:textId="1F4CE892" w:rsidR="00204BED" w:rsidRPr="005709C1" w:rsidRDefault="0085756B" w:rsidP="008575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9C1">
        <w:rPr>
          <w:rFonts w:ascii="Times New Roman" w:hAnsi="Times New Roman" w:cs="Times New Roman"/>
          <w:sz w:val="24"/>
          <w:szCs w:val="24"/>
        </w:rPr>
        <w:t xml:space="preserve">Play – Off Yarı Final müsabakaları </w:t>
      </w:r>
      <w:r w:rsidR="005709C1">
        <w:rPr>
          <w:rFonts w:ascii="Times New Roman" w:hAnsi="Times New Roman" w:cs="Times New Roman"/>
          <w:sz w:val="24"/>
          <w:szCs w:val="24"/>
        </w:rPr>
        <w:t xml:space="preserve">federasyonun belirlemiş olduğu yerde </w:t>
      </w:r>
      <w:r w:rsidRPr="005709C1">
        <w:rPr>
          <w:rFonts w:ascii="Times New Roman" w:hAnsi="Times New Roman" w:cs="Times New Roman"/>
          <w:sz w:val="24"/>
          <w:szCs w:val="24"/>
        </w:rPr>
        <w:t xml:space="preserve">kazanılmış iki (2) müsabaka üzerinden oynanır. İki (2) galibiyet alan takım Play – Off Final Müsabakaları oynamaya hak kazanır. </w:t>
      </w:r>
    </w:p>
    <w:p w14:paraId="30BAEC77" w14:textId="77777777" w:rsidR="0085756B" w:rsidRPr="005709C1" w:rsidRDefault="0085756B" w:rsidP="008575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5C3F37" w14:textId="77777777" w:rsidR="0085756B" w:rsidRPr="005709C1" w:rsidRDefault="0085756B" w:rsidP="00857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9C1">
        <w:rPr>
          <w:rFonts w:ascii="Times New Roman" w:hAnsi="Times New Roman" w:cs="Times New Roman"/>
          <w:b/>
          <w:bCs/>
          <w:sz w:val="24"/>
          <w:szCs w:val="24"/>
        </w:rPr>
        <w:t>4. Play – Off Final Müsabakaları</w:t>
      </w:r>
    </w:p>
    <w:p w14:paraId="2CCAD703" w14:textId="50897C8A" w:rsidR="0085756B" w:rsidRPr="005709C1" w:rsidRDefault="0085756B" w:rsidP="008575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9C1">
        <w:rPr>
          <w:rFonts w:ascii="Times New Roman" w:hAnsi="Times New Roman" w:cs="Times New Roman"/>
          <w:sz w:val="24"/>
          <w:szCs w:val="24"/>
        </w:rPr>
        <w:t>Play – Off Yarı Final Müsabakaları sonrasında rakibine üstünlük sağlayarak tur atlayan İ ve J takımları eşleşirler. Play – Off Final müsabakalarında takımların normal sezonda, Play – Off Çeyrek Final müsabakalarında ve Play – Off Yarı Final müsabakalarında oynamış oldukları müsabaka sonuçları ne olursa olsun müsabakalar 0 – 0 başlar.</w:t>
      </w:r>
    </w:p>
    <w:p w14:paraId="511D7601" w14:textId="3717CF74" w:rsidR="00651AA0" w:rsidRDefault="0085756B" w:rsidP="008575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649">
        <w:rPr>
          <w:rFonts w:ascii="Times New Roman" w:hAnsi="Times New Roman" w:cs="Times New Roman"/>
          <w:sz w:val="24"/>
          <w:szCs w:val="24"/>
        </w:rPr>
        <w:t>Play – Off Final müsabakaları</w:t>
      </w:r>
      <w:r w:rsidR="00651AA0" w:rsidRPr="00996649">
        <w:rPr>
          <w:rFonts w:ascii="Times New Roman" w:hAnsi="Times New Roman" w:cs="Times New Roman"/>
          <w:sz w:val="24"/>
          <w:szCs w:val="24"/>
        </w:rPr>
        <w:t xml:space="preserve"> Deplasmanlı olarak </w:t>
      </w:r>
      <w:r w:rsidRPr="00996649">
        <w:rPr>
          <w:rFonts w:ascii="Times New Roman" w:hAnsi="Times New Roman" w:cs="Times New Roman"/>
          <w:sz w:val="24"/>
          <w:szCs w:val="24"/>
        </w:rPr>
        <w:t xml:space="preserve"> kazanılmış </w:t>
      </w:r>
      <w:r w:rsidR="00651AA0" w:rsidRPr="00996649">
        <w:rPr>
          <w:rFonts w:ascii="Times New Roman" w:hAnsi="Times New Roman" w:cs="Times New Roman"/>
          <w:sz w:val="24"/>
          <w:szCs w:val="24"/>
        </w:rPr>
        <w:t xml:space="preserve">Beş </w:t>
      </w:r>
      <w:r w:rsidRPr="00996649">
        <w:rPr>
          <w:rFonts w:ascii="Times New Roman" w:hAnsi="Times New Roman" w:cs="Times New Roman"/>
          <w:sz w:val="24"/>
          <w:szCs w:val="24"/>
        </w:rPr>
        <w:t>(</w:t>
      </w:r>
      <w:r w:rsidR="00651AA0" w:rsidRPr="00996649">
        <w:rPr>
          <w:rFonts w:ascii="Times New Roman" w:hAnsi="Times New Roman" w:cs="Times New Roman"/>
          <w:sz w:val="24"/>
          <w:szCs w:val="24"/>
        </w:rPr>
        <w:t>5</w:t>
      </w:r>
      <w:r w:rsidRPr="00996649">
        <w:rPr>
          <w:rFonts w:ascii="Times New Roman" w:hAnsi="Times New Roman" w:cs="Times New Roman"/>
          <w:sz w:val="24"/>
          <w:szCs w:val="24"/>
        </w:rPr>
        <w:t xml:space="preserve">) müsabaka üzerinden oynanır. </w:t>
      </w:r>
      <w:r w:rsidR="0005188F" w:rsidRPr="00996649">
        <w:rPr>
          <w:rFonts w:ascii="Times New Roman" w:hAnsi="Times New Roman" w:cs="Times New Roman"/>
          <w:sz w:val="24"/>
          <w:szCs w:val="24"/>
        </w:rPr>
        <w:t>Üç</w:t>
      </w:r>
      <w:r w:rsidRPr="00996649">
        <w:rPr>
          <w:rFonts w:ascii="Times New Roman" w:hAnsi="Times New Roman" w:cs="Times New Roman"/>
          <w:sz w:val="24"/>
          <w:szCs w:val="24"/>
        </w:rPr>
        <w:t xml:space="preserve"> (</w:t>
      </w:r>
      <w:r w:rsidR="0005188F" w:rsidRPr="00996649">
        <w:rPr>
          <w:rFonts w:ascii="Times New Roman" w:hAnsi="Times New Roman" w:cs="Times New Roman"/>
          <w:sz w:val="24"/>
          <w:szCs w:val="24"/>
        </w:rPr>
        <w:t>3</w:t>
      </w:r>
      <w:r w:rsidRPr="00996649">
        <w:rPr>
          <w:rFonts w:ascii="Times New Roman" w:hAnsi="Times New Roman" w:cs="Times New Roman"/>
          <w:sz w:val="24"/>
          <w:szCs w:val="24"/>
        </w:rPr>
        <w:t>) galibiyet alan takım 202</w:t>
      </w:r>
      <w:r w:rsidR="00A960B2" w:rsidRPr="00996649">
        <w:rPr>
          <w:rFonts w:ascii="Times New Roman" w:hAnsi="Times New Roman" w:cs="Times New Roman"/>
          <w:sz w:val="24"/>
          <w:szCs w:val="24"/>
        </w:rPr>
        <w:t>5</w:t>
      </w:r>
      <w:r w:rsidRPr="00996649">
        <w:rPr>
          <w:rFonts w:ascii="Times New Roman" w:hAnsi="Times New Roman" w:cs="Times New Roman"/>
          <w:sz w:val="24"/>
          <w:szCs w:val="24"/>
        </w:rPr>
        <w:t xml:space="preserve"> - 202</w:t>
      </w:r>
      <w:r w:rsidR="00A960B2" w:rsidRPr="00996649">
        <w:rPr>
          <w:rFonts w:ascii="Times New Roman" w:hAnsi="Times New Roman" w:cs="Times New Roman"/>
          <w:sz w:val="24"/>
          <w:szCs w:val="24"/>
        </w:rPr>
        <w:t>6</w:t>
      </w:r>
      <w:r w:rsidRPr="00996649">
        <w:rPr>
          <w:rFonts w:ascii="Times New Roman" w:hAnsi="Times New Roman" w:cs="Times New Roman"/>
          <w:sz w:val="24"/>
          <w:szCs w:val="24"/>
        </w:rPr>
        <w:t xml:space="preserve"> </w:t>
      </w:r>
      <w:r w:rsidRPr="00377E3F">
        <w:rPr>
          <w:rFonts w:ascii="Times New Roman" w:hAnsi="Times New Roman" w:cs="Times New Roman"/>
          <w:sz w:val="24"/>
          <w:szCs w:val="24"/>
        </w:rPr>
        <w:t>s</w:t>
      </w:r>
      <w:r w:rsidRPr="005709C1">
        <w:rPr>
          <w:rFonts w:ascii="Times New Roman" w:hAnsi="Times New Roman" w:cs="Times New Roman"/>
          <w:sz w:val="24"/>
          <w:szCs w:val="24"/>
        </w:rPr>
        <w:t xml:space="preserve">ezonu Tekerlekli Sandalye Basketbol Süper Ligi Şampiyonu olur. Bu turda </w:t>
      </w:r>
      <w:r w:rsidR="00651AA0">
        <w:rPr>
          <w:rFonts w:ascii="Times New Roman" w:hAnsi="Times New Roman" w:cs="Times New Roman"/>
          <w:sz w:val="24"/>
          <w:szCs w:val="24"/>
        </w:rPr>
        <w:t xml:space="preserve">normal sezonu üst sırada bitiren takım A Takımı Sezonu alt sırada bitiren takım B takımı olarak anılır. </w:t>
      </w:r>
    </w:p>
    <w:p w14:paraId="60E9B660" w14:textId="77777777" w:rsidR="00651AA0" w:rsidRDefault="00651AA0" w:rsidP="00651AA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Müsabaka A Takım sahasında</w:t>
      </w:r>
    </w:p>
    <w:p w14:paraId="1EC9A4D6" w14:textId="77777777" w:rsidR="00651AA0" w:rsidRDefault="00651AA0" w:rsidP="00651AA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Müsabaka B Takım Sahasında </w:t>
      </w:r>
    </w:p>
    <w:p w14:paraId="335A2805" w14:textId="77777777" w:rsidR="00651AA0" w:rsidRDefault="00651AA0" w:rsidP="00651AA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Müsabaka A Takım Sahasında </w:t>
      </w:r>
    </w:p>
    <w:p w14:paraId="0909639E" w14:textId="0908A0E4" w:rsidR="00651AA0" w:rsidRDefault="00651AA0" w:rsidP="00651AA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Müsabaka B Takım Sahasında (Gerekirse)</w:t>
      </w:r>
    </w:p>
    <w:p w14:paraId="600728FA" w14:textId="77777777" w:rsidR="00651AA0" w:rsidRDefault="00651AA0" w:rsidP="00651AA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Müsabaka A Takım Sahasında(Gerekirse)</w:t>
      </w:r>
    </w:p>
    <w:p w14:paraId="762EB113" w14:textId="7D9E3898" w:rsidR="0085756B" w:rsidRPr="00651AA0" w:rsidRDefault="0085756B" w:rsidP="00651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AA0">
        <w:rPr>
          <w:rFonts w:ascii="Times New Roman" w:hAnsi="Times New Roman" w:cs="Times New Roman"/>
          <w:sz w:val="24"/>
          <w:szCs w:val="24"/>
        </w:rPr>
        <w:t>olmak üzere sıra ile oynanır.</w:t>
      </w:r>
    </w:p>
    <w:p w14:paraId="79A3F06B" w14:textId="77777777" w:rsidR="0085756B" w:rsidRPr="005709C1" w:rsidRDefault="0085756B" w:rsidP="00857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D050F" w14:textId="67711E4A" w:rsidR="0085756B" w:rsidRPr="005709C1" w:rsidRDefault="0085756B" w:rsidP="00857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9C1">
        <w:rPr>
          <w:rFonts w:ascii="Times New Roman" w:hAnsi="Times New Roman" w:cs="Times New Roman"/>
          <w:b/>
          <w:bCs/>
          <w:sz w:val="24"/>
          <w:szCs w:val="24"/>
        </w:rPr>
        <w:t>5. Lig Sıralaması</w:t>
      </w:r>
    </w:p>
    <w:p w14:paraId="4037F9E0" w14:textId="77777777" w:rsidR="0085756B" w:rsidRPr="005709C1" w:rsidRDefault="0085756B" w:rsidP="008575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9C1">
        <w:rPr>
          <w:rFonts w:ascii="Times New Roman" w:hAnsi="Times New Roman" w:cs="Times New Roman"/>
          <w:sz w:val="24"/>
          <w:szCs w:val="24"/>
        </w:rPr>
        <w:t>Sezon sonunda lig sıralaması takımların başarıları esas alınarak aşağıdaki şekilde tescil edilir.</w:t>
      </w:r>
    </w:p>
    <w:p w14:paraId="5E5D99B3" w14:textId="77777777" w:rsidR="0085756B" w:rsidRPr="005709C1" w:rsidRDefault="0085756B" w:rsidP="008575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79CFBB" w14:textId="77777777" w:rsidR="0085756B" w:rsidRPr="005709C1" w:rsidRDefault="0085756B" w:rsidP="00857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9C1">
        <w:rPr>
          <w:rFonts w:ascii="Times New Roman" w:hAnsi="Times New Roman" w:cs="Times New Roman"/>
          <w:b/>
          <w:bCs/>
          <w:sz w:val="24"/>
          <w:szCs w:val="24"/>
        </w:rPr>
        <w:t xml:space="preserve">(1) </w:t>
      </w:r>
      <w:r w:rsidRPr="005709C1">
        <w:rPr>
          <w:rFonts w:ascii="Times New Roman" w:hAnsi="Times New Roman" w:cs="Times New Roman"/>
          <w:sz w:val="24"/>
          <w:szCs w:val="24"/>
        </w:rPr>
        <w:t>Play – Off Final Müsabakası Şampiyonu,</w:t>
      </w:r>
    </w:p>
    <w:p w14:paraId="62230C1A" w14:textId="77777777" w:rsidR="0085756B" w:rsidRPr="005709C1" w:rsidRDefault="0085756B" w:rsidP="00857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9C1"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 w:rsidRPr="005709C1">
        <w:rPr>
          <w:rFonts w:ascii="Times New Roman" w:hAnsi="Times New Roman" w:cs="Times New Roman"/>
          <w:sz w:val="24"/>
          <w:szCs w:val="24"/>
        </w:rPr>
        <w:t>Play – Off Final Müsabakası Finalisti,</w:t>
      </w:r>
    </w:p>
    <w:p w14:paraId="7594331C" w14:textId="77777777" w:rsidR="0085756B" w:rsidRPr="005709C1" w:rsidRDefault="0085756B" w:rsidP="00857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9C1">
        <w:rPr>
          <w:rFonts w:ascii="Times New Roman" w:hAnsi="Times New Roman" w:cs="Times New Roman"/>
          <w:b/>
          <w:bCs/>
          <w:sz w:val="24"/>
          <w:szCs w:val="24"/>
        </w:rPr>
        <w:t xml:space="preserve">(3) </w:t>
      </w:r>
      <w:r w:rsidRPr="005709C1">
        <w:rPr>
          <w:rFonts w:ascii="Times New Roman" w:hAnsi="Times New Roman" w:cs="Times New Roman"/>
          <w:sz w:val="24"/>
          <w:szCs w:val="24"/>
        </w:rPr>
        <w:t>Play – Off Yarı Final müsabakasında Play – Off Final Müsabakası Şampiyonuna elenen takım,</w:t>
      </w:r>
    </w:p>
    <w:p w14:paraId="5179A811" w14:textId="77777777" w:rsidR="0085756B" w:rsidRPr="005709C1" w:rsidRDefault="0085756B" w:rsidP="00857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9C1">
        <w:rPr>
          <w:rFonts w:ascii="Times New Roman" w:hAnsi="Times New Roman" w:cs="Times New Roman"/>
          <w:b/>
          <w:bCs/>
          <w:sz w:val="24"/>
          <w:szCs w:val="24"/>
        </w:rPr>
        <w:t xml:space="preserve">(4) </w:t>
      </w:r>
      <w:r w:rsidRPr="005709C1">
        <w:rPr>
          <w:rFonts w:ascii="Times New Roman" w:hAnsi="Times New Roman" w:cs="Times New Roman"/>
          <w:sz w:val="24"/>
          <w:szCs w:val="24"/>
        </w:rPr>
        <w:t>Play – Off Yarı Final müsabakasında Play - Off Final Müsabakası Finalistine elenen takım,</w:t>
      </w:r>
    </w:p>
    <w:p w14:paraId="4331676C" w14:textId="77777777" w:rsidR="0085756B" w:rsidRPr="005709C1" w:rsidRDefault="0085756B" w:rsidP="00857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9C1">
        <w:rPr>
          <w:rFonts w:ascii="Times New Roman" w:hAnsi="Times New Roman" w:cs="Times New Roman"/>
          <w:b/>
          <w:bCs/>
          <w:sz w:val="24"/>
          <w:szCs w:val="24"/>
        </w:rPr>
        <w:t xml:space="preserve">(5) </w:t>
      </w:r>
      <w:r w:rsidRPr="005709C1">
        <w:rPr>
          <w:rFonts w:ascii="Times New Roman" w:hAnsi="Times New Roman" w:cs="Times New Roman"/>
          <w:sz w:val="24"/>
          <w:szCs w:val="24"/>
        </w:rPr>
        <w:t>Play – Off Çeyrek Final müsabakasında Play - Off Final Müsabakası Şampiyonuna elenen takım,</w:t>
      </w:r>
    </w:p>
    <w:p w14:paraId="59596C81" w14:textId="77777777" w:rsidR="0085756B" w:rsidRPr="005709C1" w:rsidRDefault="0085756B" w:rsidP="00857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9C1">
        <w:rPr>
          <w:rFonts w:ascii="Times New Roman" w:hAnsi="Times New Roman" w:cs="Times New Roman"/>
          <w:b/>
          <w:bCs/>
          <w:sz w:val="24"/>
          <w:szCs w:val="24"/>
        </w:rPr>
        <w:t xml:space="preserve">(6) </w:t>
      </w:r>
      <w:r w:rsidRPr="005709C1">
        <w:rPr>
          <w:rFonts w:ascii="Times New Roman" w:hAnsi="Times New Roman" w:cs="Times New Roman"/>
          <w:sz w:val="24"/>
          <w:szCs w:val="24"/>
        </w:rPr>
        <w:t>Play – Off Çeyrek Final müsabakasında Play – Off Final Müsabakası Finalistine elenen takım,</w:t>
      </w:r>
    </w:p>
    <w:p w14:paraId="56A47BA3" w14:textId="77777777" w:rsidR="0085756B" w:rsidRPr="005709C1" w:rsidRDefault="0085756B" w:rsidP="00857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9C1">
        <w:rPr>
          <w:rFonts w:ascii="Times New Roman" w:hAnsi="Times New Roman" w:cs="Times New Roman"/>
          <w:b/>
          <w:bCs/>
          <w:sz w:val="24"/>
          <w:szCs w:val="24"/>
        </w:rPr>
        <w:t xml:space="preserve">(7) </w:t>
      </w:r>
      <w:r w:rsidRPr="005709C1">
        <w:rPr>
          <w:rFonts w:ascii="Times New Roman" w:hAnsi="Times New Roman" w:cs="Times New Roman"/>
          <w:sz w:val="24"/>
          <w:szCs w:val="24"/>
        </w:rPr>
        <w:t>Play – Off Çeyrek Final müsabakasında lig Üçüncüsüne elenen takım,</w:t>
      </w:r>
    </w:p>
    <w:p w14:paraId="7F27EFD5" w14:textId="77777777" w:rsidR="0085756B" w:rsidRPr="005709C1" w:rsidRDefault="0085756B" w:rsidP="00857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9C1">
        <w:rPr>
          <w:rFonts w:ascii="Times New Roman" w:hAnsi="Times New Roman" w:cs="Times New Roman"/>
          <w:b/>
          <w:bCs/>
          <w:sz w:val="24"/>
          <w:szCs w:val="24"/>
        </w:rPr>
        <w:t xml:space="preserve">(8) </w:t>
      </w:r>
      <w:r w:rsidRPr="005709C1">
        <w:rPr>
          <w:rFonts w:ascii="Times New Roman" w:hAnsi="Times New Roman" w:cs="Times New Roman"/>
          <w:sz w:val="24"/>
          <w:szCs w:val="24"/>
        </w:rPr>
        <w:t>Play – Off Çeyrek Final müsabakasında lig Dördüncüsüne elenen takım,</w:t>
      </w:r>
    </w:p>
    <w:p w14:paraId="3A28B37E" w14:textId="655CE0C1" w:rsidR="0085756B" w:rsidRPr="005709C1" w:rsidRDefault="0085756B" w:rsidP="00857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9C1">
        <w:rPr>
          <w:rFonts w:ascii="Times New Roman" w:hAnsi="Times New Roman" w:cs="Times New Roman"/>
          <w:b/>
          <w:bCs/>
          <w:sz w:val="24"/>
          <w:szCs w:val="24"/>
        </w:rPr>
        <w:t>(9-1</w:t>
      </w:r>
      <w:r w:rsidR="00A960B2" w:rsidRPr="005709C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709C1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5709C1">
        <w:rPr>
          <w:rFonts w:ascii="Times New Roman" w:hAnsi="Times New Roman" w:cs="Times New Roman"/>
          <w:sz w:val="24"/>
          <w:szCs w:val="24"/>
        </w:rPr>
        <w:t>Normal Sezon Müsabakaları sonucu</w:t>
      </w:r>
      <w:r w:rsidR="00A960B2" w:rsidRPr="005709C1">
        <w:rPr>
          <w:rFonts w:ascii="Times New Roman" w:hAnsi="Times New Roman" w:cs="Times New Roman"/>
          <w:sz w:val="24"/>
          <w:szCs w:val="24"/>
        </w:rPr>
        <w:t xml:space="preserve">na </w:t>
      </w:r>
      <w:r w:rsidRPr="005709C1">
        <w:rPr>
          <w:rFonts w:ascii="Times New Roman" w:hAnsi="Times New Roman" w:cs="Times New Roman"/>
          <w:sz w:val="24"/>
          <w:szCs w:val="24"/>
        </w:rPr>
        <w:t>göre sıralama yapılır.</w:t>
      </w:r>
    </w:p>
    <w:p w14:paraId="14D49CAA" w14:textId="77777777" w:rsidR="0085756B" w:rsidRPr="005709C1" w:rsidRDefault="0085756B" w:rsidP="00857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FADC8" w14:textId="77777777" w:rsidR="00D25209" w:rsidRDefault="00D25209" w:rsidP="00927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DF691" w14:textId="77777777" w:rsidR="00D25209" w:rsidRPr="005709C1" w:rsidRDefault="00D25209" w:rsidP="00927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5EA04" w14:textId="336A4AAE" w:rsidR="00550443" w:rsidRPr="004E1A04" w:rsidRDefault="00151CE4" w:rsidP="00A96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1A04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Maçların Görüntü Kaydı Zorunluluğu</w:t>
      </w:r>
    </w:p>
    <w:p w14:paraId="48102A17" w14:textId="77777777" w:rsidR="00151CE4" w:rsidRPr="004E1A04" w:rsidRDefault="00151CE4" w:rsidP="00A96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A9F5F" w14:textId="649058A5" w:rsidR="00151CE4" w:rsidRPr="004E1A04" w:rsidRDefault="004E1A04" w:rsidP="00A96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A04">
        <w:rPr>
          <w:rFonts w:ascii="Times New Roman" w:hAnsi="Times New Roman" w:cs="Times New Roman"/>
          <w:sz w:val="24"/>
          <w:szCs w:val="24"/>
        </w:rPr>
        <w:t>6-1.</w:t>
      </w:r>
      <w:r w:rsidR="00151CE4" w:rsidRPr="004E1A04">
        <w:rPr>
          <w:rFonts w:ascii="Times New Roman" w:hAnsi="Times New Roman" w:cs="Times New Roman"/>
          <w:sz w:val="24"/>
          <w:szCs w:val="24"/>
        </w:rPr>
        <w:t xml:space="preserve">Süper lig müsabakalarında ev sahibi takımların görüntü kaydı tutması zorunludur. </w:t>
      </w:r>
    </w:p>
    <w:p w14:paraId="0A252921" w14:textId="2A09308B" w:rsidR="004E1A04" w:rsidRPr="004E1A04" w:rsidRDefault="004E1A04" w:rsidP="004E1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A04">
        <w:rPr>
          <w:rFonts w:ascii="Times New Roman" w:hAnsi="Times New Roman" w:cs="Times New Roman"/>
          <w:sz w:val="24"/>
          <w:szCs w:val="24"/>
        </w:rPr>
        <w:t>6-2. Takımlar müsabaka</w:t>
      </w:r>
      <w:r w:rsidR="00C32B36">
        <w:rPr>
          <w:rFonts w:ascii="Times New Roman" w:hAnsi="Times New Roman" w:cs="Times New Roman"/>
          <w:sz w:val="24"/>
          <w:szCs w:val="24"/>
        </w:rPr>
        <w:t xml:space="preserve"> </w:t>
      </w:r>
      <w:r w:rsidRPr="004E1A04">
        <w:rPr>
          <w:rFonts w:ascii="Times New Roman" w:hAnsi="Times New Roman" w:cs="Times New Roman"/>
          <w:sz w:val="24"/>
          <w:szCs w:val="24"/>
        </w:rPr>
        <w:t>görüntülerin</w:t>
      </w:r>
      <w:r w:rsidR="00C32B36">
        <w:rPr>
          <w:rFonts w:ascii="Times New Roman" w:hAnsi="Times New Roman" w:cs="Times New Roman"/>
          <w:sz w:val="24"/>
          <w:szCs w:val="24"/>
        </w:rPr>
        <w:t>i</w:t>
      </w:r>
      <w:r w:rsidRPr="004E1A04">
        <w:rPr>
          <w:rFonts w:ascii="Times New Roman" w:hAnsi="Times New Roman" w:cs="Times New Roman"/>
          <w:sz w:val="24"/>
          <w:szCs w:val="24"/>
        </w:rPr>
        <w:t xml:space="preserve"> </w:t>
      </w:r>
      <w:r w:rsidR="00C32B36">
        <w:rPr>
          <w:rFonts w:ascii="Times New Roman" w:hAnsi="Times New Roman" w:cs="Times New Roman"/>
          <w:sz w:val="24"/>
          <w:szCs w:val="24"/>
        </w:rPr>
        <w:t xml:space="preserve">Federasyonca belirtilen süre içerisinde </w:t>
      </w:r>
      <w:r w:rsidRPr="004E1A04">
        <w:rPr>
          <w:rFonts w:ascii="Times New Roman" w:hAnsi="Times New Roman" w:cs="Times New Roman"/>
          <w:sz w:val="24"/>
          <w:szCs w:val="24"/>
        </w:rPr>
        <w:t>federasyonca</w:t>
      </w:r>
      <w:r w:rsidR="00C32B36">
        <w:rPr>
          <w:rFonts w:ascii="Times New Roman" w:hAnsi="Times New Roman" w:cs="Times New Roman"/>
          <w:sz w:val="24"/>
          <w:szCs w:val="24"/>
        </w:rPr>
        <w:t xml:space="preserve"> paylaşılacak olan (bulut,  driver vb.) sunucuya yüklemek </w:t>
      </w:r>
      <w:r w:rsidR="00377E3F">
        <w:rPr>
          <w:rFonts w:ascii="Times New Roman" w:hAnsi="Times New Roman" w:cs="Times New Roman"/>
          <w:sz w:val="24"/>
          <w:szCs w:val="24"/>
        </w:rPr>
        <w:t xml:space="preserve"> yada Flash Belle</w:t>
      </w:r>
      <w:r w:rsidR="004664BA">
        <w:rPr>
          <w:rFonts w:ascii="Times New Roman" w:hAnsi="Times New Roman" w:cs="Times New Roman"/>
          <w:sz w:val="24"/>
          <w:szCs w:val="24"/>
        </w:rPr>
        <w:t>k</w:t>
      </w:r>
      <w:r w:rsidR="00377E3F">
        <w:rPr>
          <w:rFonts w:ascii="Times New Roman" w:hAnsi="Times New Roman" w:cs="Times New Roman"/>
          <w:sz w:val="24"/>
          <w:szCs w:val="24"/>
        </w:rPr>
        <w:t xml:space="preserve">, CD vb harici belleklerle federasyona göndermek </w:t>
      </w:r>
      <w:r w:rsidR="00C32B36">
        <w:rPr>
          <w:rFonts w:ascii="Times New Roman" w:hAnsi="Times New Roman" w:cs="Times New Roman"/>
          <w:sz w:val="24"/>
          <w:szCs w:val="24"/>
        </w:rPr>
        <w:t xml:space="preserve">zorundadırlar. Maç görüntüsünü çekmeyen yada istenilen sunucuya yüklemeyen Takım </w:t>
      </w:r>
      <w:r w:rsidR="00C32B36" w:rsidRPr="00377E3F">
        <w:rPr>
          <w:rFonts w:ascii="Times New Roman" w:hAnsi="Times New Roman" w:cs="Times New Roman"/>
          <w:sz w:val="24"/>
          <w:szCs w:val="24"/>
        </w:rPr>
        <w:t>50</w:t>
      </w:r>
      <w:r w:rsidR="00250D2A" w:rsidRPr="00377E3F">
        <w:rPr>
          <w:rFonts w:ascii="Times New Roman" w:hAnsi="Times New Roman" w:cs="Times New Roman"/>
          <w:sz w:val="24"/>
          <w:szCs w:val="24"/>
        </w:rPr>
        <w:t>.000 T</w:t>
      </w:r>
      <w:r w:rsidR="00377E3F">
        <w:rPr>
          <w:rFonts w:ascii="Times New Roman" w:hAnsi="Times New Roman" w:cs="Times New Roman"/>
          <w:sz w:val="24"/>
          <w:szCs w:val="24"/>
        </w:rPr>
        <w:t>L</w:t>
      </w:r>
      <w:r w:rsidR="00250D2A">
        <w:rPr>
          <w:rFonts w:ascii="Times New Roman" w:hAnsi="Times New Roman" w:cs="Times New Roman"/>
          <w:sz w:val="24"/>
          <w:szCs w:val="24"/>
        </w:rPr>
        <w:t xml:space="preserve"> </w:t>
      </w:r>
      <w:r w:rsidR="00C32B36">
        <w:rPr>
          <w:rFonts w:ascii="Times New Roman" w:hAnsi="Times New Roman" w:cs="Times New Roman"/>
          <w:sz w:val="24"/>
          <w:szCs w:val="24"/>
        </w:rPr>
        <w:t xml:space="preserve"> ile cezalandırılacak olup ceza bedeli kulüp alacaklarından tahsil edilecektir. </w:t>
      </w:r>
      <w:r w:rsidRPr="004E1A04">
        <w:rPr>
          <w:rFonts w:ascii="Times New Roman" w:hAnsi="Times New Roman" w:cs="Times New Roman"/>
          <w:sz w:val="24"/>
          <w:szCs w:val="24"/>
        </w:rPr>
        <w:t>.</w:t>
      </w:r>
    </w:p>
    <w:p w14:paraId="2C94AD6D" w14:textId="77777777" w:rsidR="00151CE4" w:rsidRDefault="00151CE4" w:rsidP="00A96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9BA6B" w14:textId="77777777" w:rsidR="004E1A04" w:rsidRDefault="004E1A04" w:rsidP="004E1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Diğer Hususlar</w:t>
      </w:r>
    </w:p>
    <w:p w14:paraId="2C8179A8" w14:textId="339C4164" w:rsidR="004E1A04" w:rsidRPr="00E02F9E" w:rsidRDefault="004E1A04" w:rsidP="004E1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7E2FF2">
        <w:rPr>
          <w:rFonts w:ascii="Times New Roman" w:hAnsi="Times New Roman" w:cs="Times New Roman"/>
          <w:b/>
          <w:sz w:val="24"/>
          <w:szCs w:val="24"/>
        </w:rPr>
        <w:t>-1</w:t>
      </w:r>
      <w:r w:rsidRPr="007E2FF2">
        <w:rPr>
          <w:rFonts w:ascii="Times New Roman" w:hAnsi="Times New Roman" w:cs="Times New Roman"/>
          <w:sz w:val="24"/>
          <w:szCs w:val="24"/>
        </w:rPr>
        <w:t xml:space="preserve"> </w:t>
      </w:r>
      <w:r w:rsidR="00E02F9E" w:rsidRPr="00E02F9E">
        <w:rPr>
          <w:rFonts w:ascii="Times New Roman" w:hAnsi="Times New Roman" w:cs="Times New Roman"/>
          <w:b/>
          <w:bCs/>
          <w:sz w:val="24"/>
          <w:szCs w:val="24"/>
        </w:rPr>
        <w:t>(a)</w:t>
      </w:r>
      <w:r w:rsidRPr="00E02F9E">
        <w:rPr>
          <w:rFonts w:ascii="Times New Roman" w:hAnsi="Times New Roman" w:cs="Times New Roman"/>
          <w:b/>
          <w:bCs/>
          <w:sz w:val="24"/>
          <w:szCs w:val="24"/>
        </w:rPr>
        <w:t xml:space="preserve">Usulüne uygun yapılacak itiraz bedeli 2025-2026 sezonu için </w:t>
      </w:r>
      <w:r w:rsidR="00250D2A" w:rsidRPr="00E02F9E">
        <w:rPr>
          <w:rFonts w:ascii="Times New Roman" w:hAnsi="Times New Roman" w:cs="Times New Roman"/>
          <w:b/>
          <w:bCs/>
          <w:sz w:val="24"/>
          <w:szCs w:val="24"/>
        </w:rPr>
        <w:t>5000 TL olarak</w:t>
      </w:r>
      <w:r w:rsidRPr="00E02F9E">
        <w:rPr>
          <w:rFonts w:ascii="Times New Roman" w:hAnsi="Times New Roman" w:cs="Times New Roman"/>
          <w:b/>
          <w:bCs/>
          <w:sz w:val="24"/>
          <w:szCs w:val="24"/>
        </w:rPr>
        <w:t xml:space="preserve"> olarak belirlenmiştir.</w:t>
      </w:r>
    </w:p>
    <w:p w14:paraId="4704009A" w14:textId="77777777" w:rsidR="00E02F9E" w:rsidRPr="00E02F9E" w:rsidRDefault="00E02F9E" w:rsidP="00E02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2F9E">
        <w:rPr>
          <w:rFonts w:ascii="Times New Roman" w:hAnsi="Times New Roman" w:cs="Times New Roman"/>
          <w:b/>
          <w:bCs/>
          <w:sz w:val="24"/>
          <w:szCs w:val="24"/>
        </w:rPr>
        <w:t>(b)Usulüne uygun yapılacak Puanlama itiraz bedeli 2025-2026 sezonu için 7500 TL  olarak belirlenmiştir.</w:t>
      </w:r>
    </w:p>
    <w:p w14:paraId="7E24F340" w14:textId="3D2C8A92" w:rsidR="004E1A04" w:rsidRDefault="004E1A04" w:rsidP="004E1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</w:t>
      </w:r>
      <w:r w:rsidRPr="007E2FF2">
        <w:rPr>
          <w:rFonts w:ascii="Times New Roman" w:hAnsi="Times New Roman" w:cs="Times New Roman"/>
          <w:b/>
          <w:sz w:val="24"/>
          <w:szCs w:val="24"/>
        </w:rPr>
        <w:t>2</w:t>
      </w:r>
      <w:r w:rsidRPr="007E2FF2">
        <w:rPr>
          <w:rFonts w:ascii="Times New Roman" w:hAnsi="Times New Roman" w:cs="Times New Roman"/>
          <w:sz w:val="24"/>
          <w:szCs w:val="24"/>
        </w:rPr>
        <w:t xml:space="preserve"> Normal lig müsabakalarında deplasmanda veya kendi sahasında müsabakaya çıkmayarak hükmen mağlubiyet alan takımlar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E2FF2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E2FF2">
        <w:rPr>
          <w:rFonts w:ascii="Times New Roman" w:hAnsi="Times New Roman" w:cs="Times New Roman"/>
          <w:sz w:val="24"/>
          <w:szCs w:val="24"/>
        </w:rPr>
        <w:t xml:space="preserve"> sezonu için o karşılaşmaya ait tüm giderlere mahsuben deplasman giderlerini ödemek zorundadır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94DA8E" w14:textId="2928845F" w:rsidR="004E1A04" w:rsidRDefault="004E1A04" w:rsidP="004E1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7-3 </w:t>
      </w:r>
      <w:r>
        <w:rPr>
          <w:rFonts w:ascii="Times New Roman" w:hAnsi="Times New Roman" w:cs="Times New Roman"/>
          <w:sz w:val="24"/>
          <w:szCs w:val="24"/>
        </w:rPr>
        <w:t>Süper</w:t>
      </w:r>
      <w:r w:rsidRPr="007E2FF2">
        <w:rPr>
          <w:rFonts w:ascii="Times New Roman" w:hAnsi="Times New Roman" w:cs="Times New Roman"/>
          <w:sz w:val="24"/>
          <w:szCs w:val="24"/>
        </w:rPr>
        <w:t xml:space="preserve"> Lig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E2FF2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E2FF2">
        <w:rPr>
          <w:rFonts w:ascii="Times New Roman" w:hAnsi="Times New Roman" w:cs="Times New Roman"/>
          <w:sz w:val="24"/>
          <w:szCs w:val="24"/>
        </w:rPr>
        <w:t xml:space="preserve"> sezonu kura çekimi federasyon yönetim kurulunun belirleyeceği yer, tarih ve usulüne göre yapılacaktır.  </w:t>
      </w:r>
    </w:p>
    <w:p w14:paraId="4AEBEE68" w14:textId="7CCDBA05" w:rsidR="00250D2A" w:rsidRPr="00250D2A" w:rsidRDefault="00250D2A" w:rsidP="0025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CC6">
        <w:rPr>
          <w:rFonts w:ascii="Times New Roman" w:hAnsi="Times New Roman" w:cs="Times New Roman"/>
          <w:b/>
          <w:sz w:val="24"/>
          <w:szCs w:val="24"/>
        </w:rPr>
        <w:t>7-4</w:t>
      </w:r>
      <w:r w:rsidRPr="00250D2A">
        <w:rPr>
          <w:rFonts w:ascii="Times New Roman" w:hAnsi="Times New Roman" w:cs="Times New Roman"/>
          <w:sz w:val="24"/>
          <w:szCs w:val="24"/>
        </w:rPr>
        <w:t xml:space="preserve"> </w:t>
      </w:r>
      <w:r w:rsidRPr="00250D2A">
        <w:rPr>
          <w:rFonts w:ascii="Times New Roman" w:hAnsi="Times New Roman" w:cs="Times New Roman"/>
          <w:bCs/>
          <w:sz w:val="24"/>
          <w:szCs w:val="24"/>
        </w:rPr>
        <w:t xml:space="preserve">Federasyonun belirleyeceği yerde oynanacak olan Play Off Çeyrek Final ve Yarı Final Müsabakalarında takımlar konaklama ihtiyaçlarını ve bedellerini kendisi karşılayacaktır. </w:t>
      </w:r>
    </w:p>
    <w:p w14:paraId="5825DD9A" w14:textId="63E1CADD" w:rsidR="00250D2A" w:rsidRDefault="00E02F9E" w:rsidP="0025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A2A9E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A2A9E">
        <w:rPr>
          <w:rFonts w:ascii="Times New Roman" w:hAnsi="Times New Roman" w:cs="Times New Roman"/>
          <w:b/>
          <w:bCs/>
          <w:sz w:val="24"/>
          <w:szCs w:val="24"/>
        </w:rPr>
        <w:t xml:space="preserve"> 2025/2026 Sezonunda 01.01.2005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 sonrası </w:t>
      </w:r>
      <w:r w:rsidRPr="00BA2A9E">
        <w:rPr>
          <w:rFonts w:ascii="Times New Roman" w:hAnsi="Times New Roman" w:cs="Times New Roman"/>
          <w:b/>
          <w:bCs/>
          <w:sz w:val="24"/>
          <w:szCs w:val="24"/>
        </w:rPr>
        <w:t xml:space="preserve">doğumlu oyuncular Genç oyuncu olarak oynayacak ve bu genç oyunculardan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Süper </w:t>
      </w:r>
      <w:r w:rsidRPr="00BA2A9E">
        <w:rPr>
          <w:rFonts w:ascii="Times New Roman" w:hAnsi="Times New Roman" w:cs="Times New Roman"/>
          <w:b/>
          <w:bCs/>
          <w:sz w:val="24"/>
          <w:szCs w:val="24"/>
        </w:rPr>
        <w:t xml:space="preserve"> Ligde 1 (Bir) puan düşülerek uygulanacaktır</w:t>
      </w:r>
    </w:p>
    <w:p w14:paraId="63F2841D" w14:textId="304880B9" w:rsidR="003D28C9" w:rsidRPr="005709C1" w:rsidRDefault="003D28C9" w:rsidP="00A96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28C9" w:rsidRPr="005709C1" w:rsidSect="00551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17302"/>
    <w:multiLevelType w:val="hybridMultilevel"/>
    <w:tmpl w:val="6F8EF7EC"/>
    <w:lvl w:ilvl="0" w:tplc="2BA82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0568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4B"/>
    <w:rsid w:val="0002671C"/>
    <w:rsid w:val="00050F6F"/>
    <w:rsid w:val="0005188F"/>
    <w:rsid w:val="000525A1"/>
    <w:rsid w:val="00075D2B"/>
    <w:rsid w:val="0009419C"/>
    <w:rsid w:val="000A3150"/>
    <w:rsid w:val="000B454B"/>
    <w:rsid w:val="000C1B08"/>
    <w:rsid w:val="00151CE4"/>
    <w:rsid w:val="001B2513"/>
    <w:rsid w:val="00204BED"/>
    <w:rsid w:val="00225DFE"/>
    <w:rsid w:val="00250D2A"/>
    <w:rsid w:val="002E5D77"/>
    <w:rsid w:val="00332286"/>
    <w:rsid w:val="00377E3F"/>
    <w:rsid w:val="003D28C9"/>
    <w:rsid w:val="004664BA"/>
    <w:rsid w:val="004D7F6B"/>
    <w:rsid w:val="004E1A04"/>
    <w:rsid w:val="00532670"/>
    <w:rsid w:val="00550443"/>
    <w:rsid w:val="00551F30"/>
    <w:rsid w:val="005709C1"/>
    <w:rsid w:val="005D5CC6"/>
    <w:rsid w:val="00646AD5"/>
    <w:rsid w:val="00651AA0"/>
    <w:rsid w:val="00711C1F"/>
    <w:rsid w:val="00743D94"/>
    <w:rsid w:val="00751F03"/>
    <w:rsid w:val="0085756B"/>
    <w:rsid w:val="0092762B"/>
    <w:rsid w:val="00981B11"/>
    <w:rsid w:val="0099462A"/>
    <w:rsid w:val="00996649"/>
    <w:rsid w:val="009E694F"/>
    <w:rsid w:val="00A960B2"/>
    <w:rsid w:val="00AC23ED"/>
    <w:rsid w:val="00B9411B"/>
    <w:rsid w:val="00BD2C5A"/>
    <w:rsid w:val="00C32B36"/>
    <w:rsid w:val="00D25209"/>
    <w:rsid w:val="00D47DAC"/>
    <w:rsid w:val="00DB68E7"/>
    <w:rsid w:val="00E02F9E"/>
    <w:rsid w:val="00E065E3"/>
    <w:rsid w:val="00ED5B72"/>
    <w:rsid w:val="00F3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2ECB"/>
  <w15:docId w15:val="{069B15B8-B012-4DEF-866C-26673E97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B4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B4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B4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B4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B4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B4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B4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B4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B4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4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B4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B4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B454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B454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B454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B454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B454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B454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B4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B4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B4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B4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B4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B454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B454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B454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B4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B454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B454B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F35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35A0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35A07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39"/>
    <w:rsid w:val="00D47DA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elsizbasket.net/joomsport_team/balikesir-bsb/?sid=12710" TargetMode="External"/><Relationship Id="rId13" Type="http://schemas.openxmlformats.org/officeDocument/2006/relationships/hyperlink" Target="https://www.engelsizbasket.net/joomsport_team/izmi-bsb/?sid=1471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ngelsizbasket.net/joomsport_team/bagcilar-bel/?sid=12710" TargetMode="External"/><Relationship Id="rId12" Type="http://schemas.openxmlformats.org/officeDocument/2006/relationships/hyperlink" Target="https://www.engelsizbasket.net/joomsport_team/gazisehir-g-antep/?sid=14717" TargetMode="External"/><Relationship Id="rId17" Type="http://schemas.openxmlformats.org/officeDocument/2006/relationships/hyperlink" Target="https://www.engelsizbasket.net/joomsport_team/tsk-reh-merkezi/?sid=147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ngelsizbasket.net/joomsport_team/sanliurfa-bsb/?sid=1271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ngelsizbasket.net/joomsport_team/haliliye-bel/?sid=15063" TargetMode="External"/><Relationship Id="rId11" Type="http://schemas.openxmlformats.org/officeDocument/2006/relationships/hyperlink" Target="https://www.engelsizbasket.net/joomsport_team/galatasaray-tunc-hol/?sid=12710" TargetMode="External"/><Relationship Id="rId5" Type="http://schemas.openxmlformats.org/officeDocument/2006/relationships/hyperlink" Target="https://www.engelsizbasket.net/joomsport_team/antalya-bsb-asat/?sid=12719" TargetMode="External"/><Relationship Id="rId15" Type="http://schemas.openxmlformats.org/officeDocument/2006/relationships/hyperlink" Target="https://www.engelsizbasket.net/joomsport_team/ordu-bsb/?sid=14717" TargetMode="External"/><Relationship Id="rId10" Type="http://schemas.openxmlformats.org/officeDocument/2006/relationships/hyperlink" Target="https://www.engelsizbasket.net/joomsport_team/fenerbahce/?sid=1271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ngelsizbasket.net/joomsport_team/besiktas-engelliler/?sid=14717" TargetMode="External"/><Relationship Id="rId14" Type="http://schemas.openxmlformats.org/officeDocument/2006/relationships/hyperlink" Target="https://www.engelsizbasket.net/joomsport_team/kar-demir-kartal/?sid=14717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Alperen</dc:creator>
  <cp:keywords/>
  <dc:description/>
  <cp:lastModifiedBy>Murat SALTAN</cp:lastModifiedBy>
  <cp:revision>6</cp:revision>
  <dcterms:created xsi:type="dcterms:W3CDTF">2025-09-22T10:01:00Z</dcterms:created>
  <dcterms:modified xsi:type="dcterms:W3CDTF">2025-11-20T12:16:00Z</dcterms:modified>
</cp:coreProperties>
</file>